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46" w:rsidRPr="009539CA" w:rsidRDefault="00B62E46" w:rsidP="00B62E46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2"/>
          <w:szCs w:val="22"/>
          <w:lang w:val="sk-SK"/>
        </w:rPr>
      </w:pP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>Francúzska kultúra a frankofónne kultúry 3. (17.-18. storočie)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  <w:t xml:space="preserve">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="00C56633"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ZS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2 roč. </w:t>
      </w:r>
      <w:r w:rsidRPr="009539CA">
        <w:rPr>
          <w:rFonts w:ascii="Arial" w:hAnsi="Arial" w:cs="Arial"/>
          <w:bCs w:val="0"/>
          <w:smallCaps w:val="0"/>
          <w:spacing w:val="-3"/>
          <w:sz w:val="22"/>
          <w:szCs w:val="22"/>
          <w:lang w:val="sk-SK"/>
        </w:rPr>
        <w:t>Bc.</w:t>
      </w:r>
    </w:p>
    <w:p w:rsidR="005E7A9D" w:rsidRDefault="005E7A9D" w:rsidP="005E7A9D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>, PhD. ,</w:t>
      </w:r>
    </w:p>
    <w:p w:rsidR="005E7A9D" w:rsidRDefault="00D137B1" w:rsidP="005E7A9D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5E7A9D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5E7A9D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736BED" w:rsidRPr="009539CA" w:rsidRDefault="00736BED">
      <w:pPr>
        <w:rPr>
          <w:rFonts w:ascii="Arial" w:hAnsi="Arial" w:cs="Arial"/>
          <w:sz w:val="22"/>
          <w:szCs w:val="22"/>
        </w:rPr>
      </w:pPr>
    </w:p>
    <w:p w:rsidR="00CB4752" w:rsidRPr="009539CA" w:rsidRDefault="006B304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17e siècle – vue génerale</w:t>
      </w:r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267779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1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re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partie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du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17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siècle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Baroque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la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préciosité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Mlle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Scudéry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roman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pastoral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Honoré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d‘Urfé</w:t>
      </w:r>
      <w:proofErr w:type="spellEnd"/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CB4752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:rsidR="00B62E46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 ; Blaise Pascal ;</w:t>
      </w:r>
    </w:p>
    <w:p w:rsidR="00A90052" w:rsidRDefault="008032DB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poésie - François Malherbe, Nicolas Boileau - L’art poétique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</w:t>
      </w:r>
      <w:r w:rsidR="00B077F1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:rsidR="00A90052" w:rsidRDefault="00B077F1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etc. ; </w:t>
      </w:r>
      <w:r w:rsidR="00E3149A" w:rsidRPr="00A90052">
        <w:rPr>
          <w:rFonts w:ascii="Arial" w:hAnsi="Arial" w:cs="Arial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:rsidR="00B077F1" w:rsidRPr="00C96A7B" w:rsidRDefault="00B077F1" w:rsidP="00C96A7B">
      <w:pPr>
        <w:pStyle w:val="Odsekzoznamu"/>
        <w:numPr>
          <w:ilvl w:val="0"/>
          <w:numId w:val="3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  <w:lang w:val="fr-FR"/>
        </w:rPr>
      </w:pPr>
      <w:r w:rsidRPr="00C96A7B">
        <w:rPr>
          <w:rFonts w:ascii="Arial" w:hAnsi="Arial" w:cs="Arial"/>
          <w:sz w:val="22"/>
          <w:szCs w:val="22"/>
          <w:lang w:val="fr-FR"/>
        </w:rPr>
        <w:t>Le 18</w:t>
      </w:r>
      <w:r w:rsidRPr="00C96A7B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C96A7B">
        <w:rPr>
          <w:rFonts w:ascii="Arial" w:hAnsi="Arial" w:cs="Arial"/>
          <w:sz w:val="22"/>
          <w:szCs w:val="22"/>
          <w:lang w:val="fr-FR"/>
        </w:rPr>
        <w:t xml:space="preserve"> siècle – siècle des Lumières</w:t>
      </w:r>
      <w:bookmarkStart w:id="0" w:name="_GoBack"/>
      <w:bookmarkEnd w:id="0"/>
    </w:p>
    <w:p w:rsidR="00B077F1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Montesquieu</w:t>
      </w:r>
    </w:p>
    <w:p w:rsidR="009168D2" w:rsidRPr="009539CA" w:rsidRDefault="009168D2" w:rsidP="009168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Voltaire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Diderot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:rsidR="00A90052" w:rsidRDefault="00B077F1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 théâtre, le roman et la poésie au 18</w:t>
      </w:r>
      <w:r w:rsidRPr="009539CA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 siècle</w:t>
      </w:r>
    </w:p>
    <w:p w:rsidR="00A90052" w:rsidRPr="00A90052" w:rsidRDefault="00C96A7B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b/>
          <w:spacing w:val="-3"/>
          <w:sz w:val="22"/>
          <w:szCs w:val="22"/>
          <w:lang w:val="fr-FR"/>
        </w:rPr>
        <w:t>évaluation finale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9168D2" w:rsidRDefault="009539CA" w:rsidP="00B62E46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É</w:t>
      </w:r>
      <w:r w:rsidR="00B62E46" w:rsidRPr="009539CA">
        <w:rPr>
          <w:rFonts w:ascii="Arial" w:hAnsi="Arial" w:cs="Arial"/>
          <w:b/>
          <w:sz w:val="22"/>
          <w:szCs w:val="22"/>
        </w:rPr>
        <w:t>valuation</w:t>
      </w:r>
      <w:proofErr w:type="spellEnd"/>
      <w:r w:rsidR="00B62E46" w:rsidRPr="009539CA">
        <w:rPr>
          <w:rFonts w:ascii="Arial" w:hAnsi="Arial" w:cs="Arial"/>
          <w:b/>
          <w:sz w:val="22"/>
          <w:szCs w:val="22"/>
        </w:rPr>
        <w:t xml:space="preserve"> : </w:t>
      </w:r>
    </w:p>
    <w:p w:rsidR="009168D2" w:rsidRDefault="009168D2" w:rsidP="00B62E46">
      <w:pPr>
        <w:rPr>
          <w:rFonts w:ascii="Arial" w:hAnsi="Arial" w:cs="Arial"/>
          <w:b/>
          <w:sz w:val="22"/>
          <w:szCs w:val="22"/>
        </w:rPr>
      </w:pPr>
    </w:p>
    <w:p w:rsidR="00B62E46" w:rsidRPr="009539CA" w:rsidRDefault="00584119" w:rsidP="00B62E46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lang w:val="fr-FR"/>
        </w:rPr>
        <w:t xml:space="preserve">’évaluation 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écrite </w:t>
      </w:r>
      <w:r w:rsidR="009A3753">
        <w:rPr>
          <w:rFonts w:ascii="Arial" w:hAnsi="Arial" w:cs="Arial"/>
          <w:b/>
          <w:sz w:val="22"/>
          <w:szCs w:val="22"/>
          <w:lang w:val="fr-FR"/>
        </w:rPr>
        <w:t>est effectuée tout au long de la durée du cours.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B62E46" w:rsidRPr="009539CA">
        <w:rPr>
          <w:rFonts w:ascii="Arial" w:hAnsi="Arial" w:cs="Arial"/>
          <w:sz w:val="22"/>
          <w:szCs w:val="22"/>
          <w:lang w:val="fr-FR"/>
        </w:rPr>
        <w:t>La note finale est une moyenne des résultats d</w:t>
      </w:r>
      <w:r w:rsidR="00141415">
        <w:rPr>
          <w:rFonts w:ascii="Arial" w:hAnsi="Arial" w:cs="Arial"/>
          <w:sz w:val="22"/>
          <w:szCs w:val="22"/>
          <w:lang w:val="fr-FR"/>
        </w:rPr>
        <w:t>’</w:t>
      </w:r>
      <w:r w:rsidR="00B62E46" w:rsidRPr="009539CA">
        <w:rPr>
          <w:rFonts w:ascii="Arial" w:hAnsi="Arial" w:cs="Arial"/>
          <w:sz w:val="22"/>
          <w:szCs w:val="22"/>
          <w:lang w:val="fr-FR"/>
        </w:rPr>
        <w:t>examens partiels.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CA"/>
        </w:rPr>
      </w:pP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BEZBAKH, P.: Histoire de France des origines a 1914. Paris, Bordas 1989.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MARSEILLE, J.-LANEYRIE-DAGEN, N.: Les grands événements de l´histoire de France. Paris,  Larousse 1991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HORVILLE,  G.:Itinéraires littéraires(17-e s.). Paris, Hatier 1988.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DARCOS, X.-  TARTAYRE, P: Le XVII-ième siècle en littérature, col. Perspectives et confrontations, Paris, Hachette 1987.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DARCOS, X.-  TARTAYRE, P:: Le XVIII-ième siècle en littérature, col. Perspectives et confrontations, Paris, Hachette 1989.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fr-FR"/>
        </w:rPr>
        <w:t xml:space="preserve">BRUNEL, P.- GAILLARD, P.- MORET, M.: Lire et s´exprimer. </w:t>
      </w:r>
      <w:r w:rsidRPr="009539CA">
        <w:rPr>
          <w:rFonts w:cs="Arial"/>
          <w:sz w:val="22"/>
          <w:szCs w:val="22"/>
          <w:lang w:val="en-US"/>
        </w:rPr>
        <w:t>Paris, Nathan 1970.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en-US"/>
        </w:rPr>
        <w:t xml:space="preserve">PIJOAN, J.: </w:t>
      </w:r>
      <w:proofErr w:type="spellStart"/>
      <w:r w:rsidRPr="009539CA">
        <w:rPr>
          <w:rFonts w:cs="Arial"/>
          <w:sz w:val="22"/>
          <w:szCs w:val="22"/>
          <w:lang w:val="en-US"/>
        </w:rPr>
        <w:t>Dejiny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539CA">
        <w:rPr>
          <w:rFonts w:cs="Arial"/>
          <w:sz w:val="22"/>
          <w:szCs w:val="22"/>
          <w:lang w:val="en-US"/>
        </w:rPr>
        <w:t>umenia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. </w:t>
      </w:r>
      <w:proofErr w:type="gramStart"/>
      <w:r w:rsidRPr="009168D2">
        <w:rPr>
          <w:rFonts w:cs="Arial"/>
          <w:sz w:val="22"/>
          <w:szCs w:val="22"/>
          <w:lang w:val="en-US"/>
        </w:rPr>
        <w:t xml:space="preserve">Bratislava </w:t>
      </w:r>
      <w:proofErr w:type="spellStart"/>
      <w:r w:rsidRPr="009168D2">
        <w:rPr>
          <w:rFonts w:cs="Arial"/>
          <w:sz w:val="22"/>
          <w:szCs w:val="22"/>
          <w:lang w:val="en-US"/>
        </w:rPr>
        <w:t>Tatran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1982, resp. Ikar1998.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168D2">
        <w:rPr>
          <w:rFonts w:cs="Arial"/>
          <w:sz w:val="22"/>
          <w:szCs w:val="22"/>
          <w:lang w:val="en-US"/>
        </w:rPr>
        <w:t xml:space="preserve">KUDRNA, J. a </w:t>
      </w:r>
      <w:proofErr w:type="spellStart"/>
      <w:proofErr w:type="gramStart"/>
      <w:r w:rsidRPr="009168D2">
        <w:rPr>
          <w:rFonts w:cs="Arial"/>
          <w:sz w:val="22"/>
          <w:szCs w:val="22"/>
          <w:lang w:val="en-US"/>
        </w:rPr>
        <w:t>kol</w:t>
      </w:r>
      <w:proofErr w:type="spellEnd"/>
      <w:r w:rsidRPr="009168D2">
        <w:rPr>
          <w:rFonts w:cs="Arial"/>
          <w:sz w:val="22"/>
          <w:szCs w:val="22"/>
          <w:lang w:val="en-US"/>
        </w:rPr>
        <w:t>.: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Dějiny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Francie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. </w:t>
      </w:r>
      <w:proofErr w:type="spellStart"/>
      <w:r w:rsidRPr="009168D2">
        <w:rPr>
          <w:rFonts w:cs="Arial"/>
          <w:sz w:val="22"/>
          <w:szCs w:val="22"/>
          <w:lang w:val="en-US"/>
        </w:rPr>
        <w:t>Praha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Nakladatelství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Svoboda 1988.</w:t>
      </w:r>
    </w:p>
    <w:p w:rsidR="00A31FC6" w:rsidRPr="009539CA" w:rsidRDefault="00A31FC6" w:rsidP="00A31FC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9168D2">
        <w:rPr>
          <w:rFonts w:cs="Arial"/>
          <w:sz w:val="22"/>
          <w:szCs w:val="22"/>
          <w:lang w:val="en-US"/>
        </w:rPr>
        <w:t xml:space="preserve">ŠRÁMEK, J.: Panorama </w:t>
      </w:r>
      <w:proofErr w:type="spellStart"/>
      <w:r w:rsidRPr="009168D2">
        <w:rPr>
          <w:rFonts w:cs="Arial"/>
          <w:sz w:val="22"/>
          <w:szCs w:val="22"/>
          <w:lang w:val="en-US"/>
        </w:rPr>
        <w:t>francouzské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literatury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od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počátku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současnost.I</w:t>
      </w:r>
      <w:proofErr w:type="spellEnd"/>
      <w:proofErr w:type="gramStart"/>
      <w:r w:rsidRPr="009168D2">
        <w:rPr>
          <w:rFonts w:cs="Arial"/>
          <w:sz w:val="22"/>
          <w:szCs w:val="22"/>
          <w:lang w:val="en-US"/>
        </w:rPr>
        <w:t>.-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II. </w:t>
      </w:r>
      <w:r w:rsidRPr="009539CA">
        <w:rPr>
          <w:rFonts w:cs="Arial"/>
          <w:sz w:val="22"/>
          <w:szCs w:val="22"/>
          <w:lang w:val="fr-FR"/>
        </w:rPr>
        <w:t>Brno, Host, 2012.</w:t>
      </w:r>
    </w:p>
    <w:p w:rsidR="00382BC9" w:rsidRPr="009539CA" w:rsidRDefault="00382BC9">
      <w:pPr>
        <w:pStyle w:val="Pta"/>
        <w:tabs>
          <w:tab w:val="clear" w:pos="4536"/>
          <w:tab w:val="clear" w:pos="9072"/>
        </w:tabs>
        <w:rPr>
          <w:sz w:val="22"/>
          <w:szCs w:val="22"/>
          <w:lang w:val="fr-FR"/>
        </w:rPr>
      </w:pPr>
    </w:p>
    <w:sectPr w:rsidR="00382BC9" w:rsidRPr="009539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B1" w:rsidRDefault="00D137B1">
      <w:r>
        <w:separator/>
      </w:r>
    </w:p>
  </w:endnote>
  <w:endnote w:type="continuationSeparator" w:id="0">
    <w:p w:rsidR="00D137B1" w:rsidRDefault="00D1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B1" w:rsidRDefault="00D137B1">
      <w:r>
        <w:separator/>
      </w:r>
    </w:p>
  </w:footnote>
  <w:footnote w:type="continuationSeparator" w:id="0">
    <w:p w:rsidR="00D137B1" w:rsidRDefault="00D1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2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1"/>
  </w:num>
  <w:num w:numId="5">
    <w:abstractNumId w:val="24"/>
  </w:num>
  <w:num w:numId="6">
    <w:abstractNumId w:val="34"/>
  </w:num>
  <w:num w:numId="7">
    <w:abstractNumId w:val="19"/>
  </w:num>
  <w:num w:numId="8">
    <w:abstractNumId w:val="1"/>
  </w:num>
  <w:num w:numId="9">
    <w:abstractNumId w:val="28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5"/>
  </w:num>
  <w:num w:numId="15">
    <w:abstractNumId w:val="21"/>
  </w:num>
  <w:num w:numId="16">
    <w:abstractNumId w:val="18"/>
  </w:num>
  <w:num w:numId="17">
    <w:abstractNumId w:val="32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2"/>
  </w:num>
  <w:num w:numId="24">
    <w:abstractNumId w:val="27"/>
  </w:num>
  <w:num w:numId="25">
    <w:abstractNumId w:val="15"/>
  </w:num>
  <w:num w:numId="26">
    <w:abstractNumId w:val="23"/>
  </w:num>
  <w:num w:numId="27">
    <w:abstractNumId w:val="35"/>
  </w:num>
  <w:num w:numId="28">
    <w:abstractNumId w:val="30"/>
  </w:num>
  <w:num w:numId="29">
    <w:abstractNumId w:val="31"/>
  </w:num>
  <w:num w:numId="30">
    <w:abstractNumId w:val="10"/>
  </w:num>
  <w:num w:numId="31">
    <w:abstractNumId w:val="7"/>
  </w:num>
  <w:num w:numId="32">
    <w:abstractNumId w:val="36"/>
  </w:num>
  <w:num w:numId="33">
    <w:abstractNumId w:val="33"/>
  </w:num>
  <w:num w:numId="34">
    <w:abstractNumId w:val="22"/>
  </w:num>
  <w:num w:numId="35">
    <w:abstractNumId w:val="29"/>
  </w:num>
  <w:num w:numId="36">
    <w:abstractNumId w:val="37"/>
  </w:num>
  <w:num w:numId="37">
    <w:abstractNumId w:val="1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65091"/>
    <w:rsid w:val="00141415"/>
    <w:rsid w:val="00193340"/>
    <w:rsid w:val="00243332"/>
    <w:rsid w:val="00267779"/>
    <w:rsid w:val="002868E0"/>
    <w:rsid w:val="00382BC9"/>
    <w:rsid w:val="003E7CB2"/>
    <w:rsid w:val="00433669"/>
    <w:rsid w:val="00584119"/>
    <w:rsid w:val="005E7A9D"/>
    <w:rsid w:val="005F6C2E"/>
    <w:rsid w:val="006713A1"/>
    <w:rsid w:val="006B304B"/>
    <w:rsid w:val="006B5ECC"/>
    <w:rsid w:val="0071761C"/>
    <w:rsid w:val="00733E42"/>
    <w:rsid w:val="00736BED"/>
    <w:rsid w:val="00761B31"/>
    <w:rsid w:val="007730D2"/>
    <w:rsid w:val="007D2871"/>
    <w:rsid w:val="008032DB"/>
    <w:rsid w:val="00901E41"/>
    <w:rsid w:val="009168D2"/>
    <w:rsid w:val="009539CA"/>
    <w:rsid w:val="009A3753"/>
    <w:rsid w:val="009D13B5"/>
    <w:rsid w:val="009E6050"/>
    <w:rsid w:val="00A31FC6"/>
    <w:rsid w:val="00A6548D"/>
    <w:rsid w:val="00A90052"/>
    <w:rsid w:val="00B077F1"/>
    <w:rsid w:val="00B62E46"/>
    <w:rsid w:val="00C56633"/>
    <w:rsid w:val="00C96A7B"/>
    <w:rsid w:val="00CB4752"/>
    <w:rsid w:val="00D137B1"/>
    <w:rsid w:val="00DD7160"/>
    <w:rsid w:val="00E3149A"/>
    <w:rsid w:val="00FA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8</cp:revision>
  <dcterms:created xsi:type="dcterms:W3CDTF">2016-09-23T07:53:00Z</dcterms:created>
  <dcterms:modified xsi:type="dcterms:W3CDTF">2019-09-18T06:55:00Z</dcterms:modified>
</cp:coreProperties>
</file>